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54D7" w14:textId="77777777" w:rsidR="009065A4" w:rsidRDefault="00C7656D">
      <w:pPr>
        <w:pStyle w:val="Title"/>
        <w:spacing w:before="79"/>
      </w:pPr>
      <w:r>
        <w:t>RESOLUTION</w:t>
      </w:r>
      <w:r>
        <w:rPr>
          <w:spacing w:val="-1"/>
        </w:rPr>
        <w:t xml:space="preserve"> </w:t>
      </w:r>
      <w:r>
        <w:t>APPROVING</w:t>
      </w:r>
      <w:r>
        <w:rPr>
          <w:spacing w:val="-1"/>
        </w:rPr>
        <w:t xml:space="preserve"> </w:t>
      </w:r>
      <w:r>
        <w:t>THE</w:t>
      </w:r>
      <w:r>
        <w:rPr>
          <w:spacing w:val="-1"/>
        </w:rPr>
        <w:t xml:space="preserve"> </w:t>
      </w:r>
      <w:r>
        <w:t>ANNUAL</w:t>
      </w:r>
      <w:r>
        <w:rPr>
          <w:spacing w:val="-1"/>
        </w:rPr>
        <w:t xml:space="preserve"> </w:t>
      </w:r>
      <w:r>
        <w:rPr>
          <w:spacing w:val="-2"/>
        </w:rPr>
        <w:t>REPORT</w:t>
      </w:r>
    </w:p>
    <w:p w14:paraId="5AD698DE" w14:textId="77777777" w:rsidR="009065A4" w:rsidRDefault="00C7656D">
      <w:pPr>
        <w:pStyle w:val="Title"/>
      </w:pPr>
      <w:r>
        <w:t>OF</w:t>
      </w:r>
      <w:r>
        <w:rPr>
          <w:spacing w:val="-3"/>
        </w:rPr>
        <w:t xml:space="preserve"> </w:t>
      </w:r>
      <w:r>
        <w:t>THE</w:t>
      </w:r>
      <w:r>
        <w:rPr>
          <w:spacing w:val="-2"/>
        </w:rPr>
        <w:t xml:space="preserve"> </w:t>
      </w:r>
      <w:r>
        <w:t>NASSAU</w:t>
      </w:r>
      <w:r>
        <w:rPr>
          <w:spacing w:val="-1"/>
        </w:rPr>
        <w:t xml:space="preserve"> </w:t>
      </w:r>
      <w:r>
        <w:t>COUNTY</w:t>
      </w:r>
      <w:r>
        <w:rPr>
          <w:spacing w:val="-1"/>
        </w:rPr>
        <w:t xml:space="preserve"> </w:t>
      </w:r>
      <w:r>
        <w:t>SEWER</w:t>
      </w:r>
      <w:r>
        <w:rPr>
          <w:spacing w:val="-2"/>
        </w:rPr>
        <w:t xml:space="preserve"> </w:t>
      </w:r>
      <w:r>
        <w:t>AND</w:t>
      </w:r>
      <w:r>
        <w:rPr>
          <w:spacing w:val="-1"/>
        </w:rPr>
        <w:t xml:space="preserve"> </w:t>
      </w:r>
      <w:r>
        <w:t>STORM</w:t>
      </w:r>
      <w:r>
        <w:rPr>
          <w:spacing w:val="-2"/>
        </w:rPr>
        <w:t xml:space="preserve"> </w:t>
      </w:r>
      <w:r>
        <w:t>WATER</w:t>
      </w:r>
      <w:r>
        <w:rPr>
          <w:spacing w:val="-1"/>
        </w:rPr>
        <w:t xml:space="preserve"> </w:t>
      </w:r>
      <w:r>
        <w:t>FINANCE</w:t>
      </w:r>
      <w:r>
        <w:rPr>
          <w:spacing w:val="-1"/>
        </w:rPr>
        <w:t xml:space="preserve"> </w:t>
      </w:r>
      <w:r>
        <w:rPr>
          <w:spacing w:val="-2"/>
        </w:rPr>
        <w:t>AUTHORITY</w:t>
      </w:r>
    </w:p>
    <w:p w14:paraId="75B3518A" w14:textId="77777777" w:rsidR="009065A4" w:rsidRDefault="009065A4">
      <w:pPr>
        <w:pStyle w:val="BodyText"/>
        <w:rPr>
          <w:b/>
        </w:rPr>
      </w:pPr>
    </w:p>
    <w:p w14:paraId="7B4C139D" w14:textId="711B22E4" w:rsidR="009065A4" w:rsidRDefault="00C7656D">
      <w:pPr>
        <w:pStyle w:val="BodyText"/>
        <w:ind w:left="40"/>
        <w:jc w:val="center"/>
      </w:pPr>
      <w:r>
        <w:t>March</w:t>
      </w:r>
      <w:r>
        <w:rPr>
          <w:spacing w:val="-2"/>
        </w:rPr>
        <w:t xml:space="preserve"> </w:t>
      </w:r>
      <w:r>
        <w:t>14</w:t>
      </w:r>
      <w:r>
        <w:t>,</w:t>
      </w:r>
      <w:r>
        <w:rPr>
          <w:spacing w:val="-1"/>
        </w:rPr>
        <w:t xml:space="preserve"> </w:t>
      </w:r>
      <w:r>
        <w:rPr>
          <w:spacing w:val="-4"/>
        </w:rPr>
        <w:t>2024</w:t>
      </w:r>
    </w:p>
    <w:p w14:paraId="3099713C" w14:textId="77777777" w:rsidR="009065A4" w:rsidRDefault="009065A4">
      <w:pPr>
        <w:pStyle w:val="BodyText"/>
      </w:pPr>
    </w:p>
    <w:p w14:paraId="0999E6BD" w14:textId="77777777" w:rsidR="009065A4" w:rsidRDefault="00C7656D">
      <w:pPr>
        <w:pStyle w:val="BodyText"/>
        <w:ind w:left="100" w:right="108" w:firstLine="719"/>
      </w:pPr>
      <w:r>
        <w:t>WHEREAS, pursuant to Section 1232-q of Title 10-D of Article 5 of the Public Authorities Law (the “Nassau County Sewer and Storm Water Finance Authority Act” or the “Act”), this Nassau County Sewer and Storm Water Finance Authority (the “Authority”) must annually</w:t>
      </w:r>
      <w:r>
        <w:rPr>
          <w:spacing w:val="-3"/>
        </w:rPr>
        <w:t xml:space="preserve"> </w:t>
      </w:r>
      <w:r>
        <w:t>submit</w:t>
      </w:r>
      <w:r>
        <w:rPr>
          <w:spacing w:val="-3"/>
        </w:rPr>
        <w:t xml:space="preserve"> </w:t>
      </w:r>
      <w:r>
        <w:t>to</w:t>
      </w:r>
      <w:r>
        <w:rPr>
          <w:spacing w:val="-3"/>
        </w:rPr>
        <w:t xml:space="preserve"> </w:t>
      </w:r>
      <w:r>
        <w:t>the</w:t>
      </w:r>
      <w:r>
        <w:rPr>
          <w:spacing w:val="-4"/>
        </w:rPr>
        <w:t xml:space="preserve"> </w:t>
      </w:r>
      <w:r>
        <w:t>Governor,</w:t>
      </w:r>
      <w:r>
        <w:rPr>
          <w:spacing w:val="-3"/>
        </w:rPr>
        <w:t xml:space="preserve"> </w:t>
      </w:r>
      <w:r>
        <w:t>the</w:t>
      </w:r>
      <w:r>
        <w:rPr>
          <w:spacing w:val="-3"/>
        </w:rPr>
        <w:t xml:space="preserve"> </w:t>
      </w:r>
      <w:r>
        <w:t>State</w:t>
      </w:r>
      <w:r>
        <w:rPr>
          <w:spacing w:val="-3"/>
        </w:rPr>
        <w:t xml:space="preserve"> </w:t>
      </w:r>
      <w:r>
        <w:t>Comptroller,</w:t>
      </w:r>
      <w:r>
        <w:rPr>
          <w:spacing w:val="-3"/>
        </w:rPr>
        <w:t xml:space="preserve"> </w:t>
      </w:r>
      <w:r>
        <w:t>the</w:t>
      </w:r>
      <w:r>
        <w:rPr>
          <w:spacing w:val="-5"/>
        </w:rPr>
        <w:t xml:space="preserve"> </w:t>
      </w:r>
      <w:r>
        <w:t>Chairperson</w:t>
      </w:r>
      <w:r>
        <w:rPr>
          <w:spacing w:val="-3"/>
        </w:rPr>
        <w:t xml:space="preserve"> </w:t>
      </w:r>
      <w:r>
        <w:t>of</w:t>
      </w:r>
      <w:r>
        <w:rPr>
          <w:spacing w:val="-3"/>
        </w:rPr>
        <w:t xml:space="preserve"> </w:t>
      </w:r>
      <w:r>
        <w:t>the</w:t>
      </w:r>
      <w:r>
        <w:rPr>
          <w:spacing w:val="-3"/>
        </w:rPr>
        <w:t xml:space="preserve"> </w:t>
      </w:r>
      <w:r>
        <w:t>New</w:t>
      </w:r>
      <w:r>
        <w:rPr>
          <w:spacing w:val="-3"/>
        </w:rPr>
        <w:t xml:space="preserve"> </w:t>
      </w:r>
      <w:r>
        <w:t>York</w:t>
      </w:r>
      <w:r>
        <w:rPr>
          <w:spacing w:val="-3"/>
        </w:rPr>
        <w:t xml:space="preserve"> </w:t>
      </w:r>
      <w:r>
        <w:t>State (the “State”) Senate Finance Committee and the Chairperson of the New York State Assembly</w:t>
      </w:r>
    </w:p>
    <w:p w14:paraId="70358F43" w14:textId="77777777" w:rsidR="009065A4" w:rsidRDefault="00C7656D">
      <w:pPr>
        <w:pStyle w:val="BodyText"/>
        <w:ind w:left="100" w:right="108"/>
      </w:pPr>
      <w:r>
        <w:t>Ways</w:t>
      </w:r>
      <w:r>
        <w:rPr>
          <w:spacing w:val="-3"/>
        </w:rPr>
        <w:t xml:space="preserve"> </w:t>
      </w:r>
      <w:r>
        <w:t>and</w:t>
      </w:r>
      <w:r>
        <w:rPr>
          <w:spacing w:val="-3"/>
        </w:rPr>
        <w:t xml:space="preserve"> </w:t>
      </w:r>
      <w:r>
        <w:t>Means</w:t>
      </w:r>
      <w:r>
        <w:rPr>
          <w:spacing w:val="-3"/>
        </w:rPr>
        <w:t xml:space="preserve"> </w:t>
      </w:r>
      <w:r>
        <w:t>Committee</w:t>
      </w:r>
      <w:r>
        <w:rPr>
          <w:spacing w:val="-5"/>
        </w:rPr>
        <w:t xml:space="preserve"> </w:t>
      </w:r>
      <w:r>
        <w:t>a</w:t>
      </w:r>
      <w:r>
        <w:rPr>
          <w:spacing w:val="-4"/>
        </w:rPr>
        <w:t xml:space="preserve"> </w:t>
      </w:r>
      <w:r>
        <w:t>detailed</w:t>
      </w:r>
      <w:r>
        <w:rPr>
          <w:spacing w:val="-2"/>
        </w:rPr>
        <w:t xml:space="preserve"> </w:t>
      </w:r>
      <w:r>
        <w:t>report</w:t>
      </w:r>
      <w:r>
        <w:rPr>
          <w:spacing w:val="-3"/>
        </w:rPr>
        <w:t xml:space="preserve"> </w:t>
      </w:r>
      <w:r>
        <w:t>pursuant</w:t>
      </w:r>
      <w:r>
        <w:rPr>
          <w:spacing w:val="-3"/>
        </w:rPr>
        <w:t xml:space="preserve"> </w:t>
      </w:r>
      <w:r>
        <w:t>to</w:t>
      </w:r>
      <w:r>
        <w:rPr>
          <w:spacing w:val="-3"/>
        </w:rPr>
        <w:t xml:space="preserve"> </w:t>
      </w:r>
      <w:r>
        <w:t>Section</w:t>
      </w:r>
      <w:r>
        <w:rPr>
          <w:spacing w:val="-3"/>
        </w:rPr>
        <w:t xml:space="preserve"> </w:t>
      </w:r>
      <w:r>
        <w:t>2800</w:t>
      </w:r>
      <w:r>
        <w:rPr>
          <w:spacing w:val="-3"/>
        </w:rPr>
        <w:t xml:space="preserve"> </w:t>
      </w:r>
      <w:r>
        <w:t>of</w:t>
      </w:r>
      <w:r>
        <w:rPr>
          <w:spacing w:val="-4"/>
        </w:rPr>
        <w:t xml:space="preserve"> </w:t>
      </w:r>
      <w:r>
        <w:t>the</w:t>
      </w:r>
      <w:r>
        <w:rPr>
          <w:spacing w:val="-3"/>
        </w:rPr>
        <w:t xml:space="preserve"> </w:t>
      </w:r>
      <w:r>
        <w:t>Public</w:t>
      </w:r>
      <w:r>
        <w:rPr>
          <w:spacing w:val="-3"/>
        </w:rPr>
        <w:t xml:space="preserve"> </w:t>
      </w:r>
      <w:r>
        <w:t>Authorities Law of the State of New York (the “PAL”), and a copy of such report must be filed with the County Executive of Nassau County (the “County”), the Clerk of the County Legislature, the County Treasurer and each member of the County Legislature; and</w:t>
      </w:r>
    </w:p>
    <w:p w14:paraId="51C5FCCB" w14:textId="77777777" w:rsidR="009065A4" w:rsidRDefault="009065A4">
      <w:pPr>
        <w:pStyle w:val="BodyText"/>
        <w:spacing w:before="1"/>
      </w:pPr>
    </w:p>
    <w:p w14:paraId="337FD08A" w14:textId="77777777" w:rsidR="009065A4" w:rsidRDefault="00C7656D">
      <w:pPr>
        <w:pStyle w:val="BodyText"/>
        <w:ind w:left="100" w:right="108" w:firstLine="719"/>
      </w:pPr>
      <w:r>
        <w:t>WHEREAS, pursuant to Section 2800[2](a) of the PAL, local authorities, including the Authority,</w:t>
      </w:r>
      <w:r>
        <w:rPr>
          <w:spacing w:val="-3"/>
        </w:rPr>
        <w:t xml:space="preserve"> </w:t>
      </w:r>
      <w:r>
        <w:t>must</w:t>
      </w:r>
      <w:r>
        <w:rPr>
          <w:spacing w:val="-3"/>
        </w:rPr>
        <w:t xml:space="preserve"> </w:t>
      </w:r>
      <w:r>
        <w:t>submit</w:t>
      </w:r>
      <w:r>
        <w:rPr>
          <w:spacing w:val="-3"/>
        </w:rPr>
        <w:t xml:space="preserve"> </w:t>
      </w:r>
      <w:r>
        <w:t>such</w:t>
      </w:r>
      <w:r>
        <w:rPr>
          <w:spacing w:val="-3"/>
        </w:rPr>
        <w:t xml:space="preserve"> </w:t>
      </w:r>
      <w:r>
        <w:t>report</w:t>
      </w:r>
      <w:r>
        <w:rPr>
          <w:spacing w:val="-3"/>
        </w:rPr>
        <w:t xml:space="preserve"> </w:t>
      </w:r>
      <w:r>
        <w:t>to</w:t>
      </w:r>
      <w:r>
        <w:rPr>
          <w:spacing w:val="-3"/>
        </w:rPr>
        <w:t xml:space="preserve"> </w:t>
      </w:r>
      <w:r>
        <w:t>the</w:t>
      </w:r>
      <w:r>
        <w:rPr>
          <w:spacing w:val="-4"/>
        </w:rPr>
        <w:t xml:space="preserve"> </w:t>
      </w:r>
      <w:r>
        <w:t>County</w:t>
      </w:r>
      <w:r>
        <w:rPr>
          <w:spacing w:val="-1"/>
        </w:rPr>
        <w:t xml:space="preserve"> </w:t>
      </w:r>
      <w:r>
        <w:t>Executive,</w:t>
      </w:r>
      <w:r>
        <w:rPr>
          <w:spacing w:val="-3"/>
        </w:rPr>
        <w:t xml:space="preserve"> </w:t>
      </w:r>
      <w:r>
        <w:t>the</w:t>
      </w:r>
      <w:r>
        <w:rPr>
          <w:spacing w:val="-3"/>
        </w:rPr>
        <w:t xml:space="preserve"> </w:t>
      </w:r>
      <w:r>
        <w:t>County</w:t>
      </w:r>
      <w:r>
        <w:rPr>
          <w:spacing w:val="-3"/>
        </w:rPr>
        <w:t xml:space="preserve"> </w:t>
      </w:r>
      <w:r>
        <w:t>Treasurer,</w:t>
      </w:r>
      <w:r>
        <w:rPr>
          <w:spacing w:val="-3"/>
        </w:rPr>
        <w:t xml:space="preserve"> </w:t>
      </w:r>
      <w:r>
        <w:t>the</w:t>
      </w:r>
      <w:r>
        <w:rPr>
          <w:spacing w:val="-5"/>
        </w:rPr>
        <w:t xml:space="preserve"> </w:t>
      </w:r>
      <w:r>
        <w:t>Presiding Officer of the County Legislature and the State Authorities Budget Office; and</w:t>
      </w:r>
    </w:p>
    <w:p w14:paraId="496FFAF9" w14:textId="77777777" w:rsidR="009065A4" w:rsidRDefault="009065A4">
      <w:pPr>
        <w:pStyle w:val="BodyText"/>
      </w:pPr>
    </w:p>
    <w:p w14:paraId="67FC0F2D" w14:textId="77777777" w:rsidR="009065A4" w:rsidRDefault="00C7656D">
      <w:pPr>
        <w:pStyle w:val="BodyText"/>
        <w:ind w:left="100" w:right="108" w:firstLine="719"/>
      </w:pPr>
      <w:r>
        <w:t>WHEREAS,</w:t>
      </w:r>
      <w:r>
        <w:rPr>
          <w:spacing w:val="-4"/>
        </w:rPr>
        <w:t xml:space="preserve"> </w:t>
      </w:r>
      <w:r>
        <w:t>pursuant</w:t>
      </w:r>
      <w:r>
        <w:rPr>
          <w:spacing w:val="-4"/>
        </w:rPr>
        <w:t xml:space="preserve"> </w:t>
      </w:r>
      <w:r>
        <w:t>to</w:t>
      </w:r>
      <w:r>
        <w:rPr>
          <w:spacing w:val="-2"/>
        </w:rPr>
        <w:t xml:space="preserve"> </w:t>
      </w:r>
      <w:r>
        <w:t>Section</w:t>
      </w:r>
      <w:r>
        <w:rPr>
          <w:spacing w:val="-4"/>
        </w:rPr>
        <w:t xml:space="preserve"> </w:t>
      </w:r>
      <w:r>
        <w:t>3.09</w:t>
      </w:r>
      <w:r>
        <w:rPr>
          <w:spacing w:val="-4"/>
        </w:rPr>
        <w:t xml:space="preserve"> </w:t>
      </w:r>
      <w:r>
        <w:t>of</w:t>
      </w:r>
      <w:r>
        <w:rPr>
          <w:spacing w:val="-5"/>
        </w:rPr>
        <w:t xml:space="preserve"> </w:t>
      </w:r>
      <w:r>
        <w:t>the</w:t>
      </w:r>
      <w:r>
        <w:rPr>
          <w:spacing w:val="-4"/>
        </w:rPr>
        <w:t xml:space="preserve"> </w:t>
      </w:r>
      <w:r>
        <w:t>Financing</w:t>
      </w:r>
      <w:r>
        <w:rPr>
          <w:spacing w:val="-4"/>
        </w:rPr>
        <w:t xml:space="preserve"> </w:t>
      </w:r>
      <w:r>
        <w:t>Agreement</w:t>
      </w:r>
      <w:r>
        <w:rPr>
          <w:spacing w:val="-4"/>
        </w:rPr>
        <w:t xml:space="preserve"> </w:t>
      </w:r>
      <w:r>
        <w:t>dated</w:t>
      </w:r>
      <w:r>
        <w:rPr>
          <w:spacing w:val="-4"/>
        </w:rPr>
        <w:t xml:space="preserve"> </w:t>
      </w:r>
      <w:r>
        <w:t>as</w:t>
      </w:r>
      <w:r>
        <w:rPr>
          <w:spacing w:val="-2"/>
        </w:rPr>
        <w:t xml:space="preserve"> </w:t>
      </w:r>
      <w:r>
        <w:t>of</w:t>
      </w:r>
      <w:r>
        <w:rPr>
          <w:spacing w:val="-4"/>
        </w:rPr>
        <w:t xml:space="preserve"> </w:t>
      </w:r>
      <w:r>
        <w:t>October</w:t>
      </w:r>
      <w:r>
        <w:rPr>
          <w:spacing w:val="-6"/>
        </w:rPr>
        <w:t xml:space="preserve"> </w:t>
      </w:r>
      <w:r>
        <w:t>1, 2014</w:t>
      </w:r>
      <w:r>
        <w:rPr>
          <w:spacing w:val="-1"/>
        </w:rPr>
        <w:t xml:space="preserve"> </w:t>
      </w:r>
      <w:r>
        <w:t>between</w:t>
      </w:r>
      <w:r>
        <w:rPr>
          <w:spacing w:val="-1"/>
        </w:rPr>
        <w:t xml:space="preserve"> </w:t>
      </w:r>
      <w:r>
        <w:t>the</w:t>
      </w:r>
      <w:r>
        <w:rPr>
          <w:spacing w:val="-1"/>
        </w:rPr>
        <w:t xml:space="preserve"> </w:t>
      </w:r>
      <w:r>
        <w:t>County</w:t>
      </w:r>
      <w:r>
        <w:rPr>
          <w:spacing w:val="-1"/>
        </w:rPr>
        <w:t xml:space="preserve"> </w:t>
      </w:r>
      <w:r>
        <w:t>and</w:t>
      </w:r>
      <w:r>
        <w:rPr>
          <w:spacing w:val="-1"/>
        </w:rPr>
        <w:t xml:space="preserve"> </w:t>
      </w:r>
      <w:r>
        <w:t>the</w:t>
      </w:r>
      <w:r>
        <w:rPr>
          <w:spacing w:val="-1"/>
        </w:rPr>
        <w:t xml:space="preserve"> </w:t>
      </w:r>
      <w:r>
        <w:t>Authority,</w:t>
      </w:r>
      <w:r>
        <w:rPr>
          <w:spacing w:val="-1"/>
        </w:rPr>
        <w:t xml:space="preserve"> </w:t>
      </w:r>
      <w:r>
        <w:t>the Authority</w:t>
      </w:r>
      <w:r>
        <w:rPr>
          <w:spacing w:val="-1"/>
        </w:rPr>
        <w:t xml:space="preserve"> </w:t>
      </w:r>
      <w:r>
        <w:t>has</w:t>
      </w:r>
      <w:r>
        <w:rPr>
          <w:spacing w:val="-1"/>
        </w:rPr>
        <w:t xml:space="preserve"> </w:t>
      </w:r>
      <w:r>
        <w:t>agreed</w:t>
      </w:r>
      <w:r>
        <w:rPr>
          <w:spacing w:val="-1"/>
        </w:rPr>
        <w:t xml:space="preserve"> </w:t>
      </w:r>
      <w:r>
        <w:t>to</w:t>
      </w:r>
      <w:r>
        <w:rPr>
          <w:spacing w:val="-1"/>
        </w:rPr>
        <w:t xml:space="preserve"> </w:t>
      </w:r>
      <w:r>
        <w:t>utilize</w:t>
      </w:r>
      <w:r>
        <w:rPr>
          <w:spacing w:val="-3"/>
        </w:rPr>
        <w:t xml:space="preserve"> </w:t>
      </w:r>
      <w:r>
        <w:t>the</w:t>
      </w:r>
      <w:r>
        <w:rPr>
          <w:spacing w:val="-1"/>
        </w:rPr>
        <w:t xml:space="preserve"> </w:t>
      </w:r>
      <w:r>
        <w:t>procurement processes of the County whenever possible to assist the Authority in carrying out its purposes and the County agrees to make such procurement processes available therefor; and</w:t>
      </w:r>
    </w:p>
    <w:p w14:paraId="4BDF20B1" w14:textId="77777777" w:rsidR="009065A4" w:rsidRDefault="009065A4">
      <w:pPr>
        <w:pStyle w:val="BodyText"/>
      </w:pPr>
    </w:p>
    <w:p w14:paraId="49F5FCFE" w14:textId="2C5B4F66" w:rsidR="009065A4" w:rsidRDefault="00C7656D">
      <w:pPr>
        <w:pStyle w:val="BodyText"/>
        <w:ind w:left="100" w:right="108" w:firstLine="719"/>
      </w:pPr>
      <w:r>
        <w:t>WHEREAS,</w:t>
      </w:r>
      <w:r>
        <w:rPr>
          <w:spacing w:val="-3"/>
        </w:rPr>
        <w:t xml:space="preserve"> </w:t>
      </w:r>
      <w:r>
        <w:t>County</w:t>
      </w:r>
      <w:r>
        <w:rPr>
          <w:spacing w:val="-3"/>
        </w:rPr>
        <w:t xml:space="preserve"> </w:t>
      </w:r>
      <w:r>
        <w:t>staff</w:t>
      </w:r>
      <w:r>
        <w:rPr>
          <w:spacing w:val="-4"/>
        </w:rPr>
        <w:t xml:space="preserve"> </w:t>
      </w:r>
      <w:r>
        <w:t>has</w:t>
      </w:r>
      <w:r>
        <w:rPr>
          <w:spacing w:val="-3"/>
        </w:rPr>
        <w:t xml:space="preserve"> </w:t>
      </w:r>
      <w:r>
        <w:t>prepared</w:t>
      </w:r>
      <w:r>
        <w:rPr>
          <w:spacing w:val="-3"/>
        </w:rPr>
        <w:t xml:space="preserve"> </w:t>
      </w:r>
      <w:r>
        <w:t>the</w:t>
      </w:r>
      <w:r>
        <w:rPr>
          <w:spacing w:val="-4"/>
        </w:rPr>
        <w:t xml:space="preserve"> </w:t>
      </w:r>
      <w:r>
        <w:t>2023</w:t>
      </w:r>
      <w:r>
        <w:rPr>
          <w:spacing w:val="-1"/>
        </w:rPr>
        <w:t xml:space="preserve"> </w:t>
      </w:r>
      <w:r>
        <w:t>Annual</w:t>
      </w:r>
      <w:r>
        <w:rPr>
          <w:spacing w:val="-3"/>
        </w:rPr>
        <w:t xml:space="preserve"> </w:t>
      </w:r>
      <w:r>
        <w:t>Report</w:t>
      </w:r>
      <w:r>
        <w:rPr>
          <w:spacing w:val="-3"/>
        </w:rPr>
        <w:t xml:space="preserve"> </w:t>
      </w:r>
      <w:r>
        <w:t>of</w:t>
      </w:r>
      <w:r>
        <w:rPr>
          <w:spacing w:val="-4"/>
        </w:rPr>
        <w:t xml:space="preserve"> </w:t>
      </w:r>
      <w:r>
        <w:t>the</w:t>
      </w:r>
      <w:r>
        <w:rPr>
          <w:spacing w:val="-3"/>
        </w:rPr>
        <w:t xml:space="preserve"> </w:t>
      </w:r>
      <w:r>
        <w:t>Authority,</w:t>
      </w:r>
      <w:r>
        <w:rPr>
          <w:spacing w:val="-3"/>
        </w:rPr>
        <w:t xml:space="preserve"> </w:t>
      </w:r>
      <w:r>
        <w:t>a</w:t>
      </w:r>
      <w:r>
        <w:rPr>
          <w:spacing w:val="-4"/>
        </w:rPr>
        <w:t xml:space="preserve"> </w:t>
      </w:r>
      <w:r>
        <w:t>copy of which has been provided to each member of the Authority; and</w:t>
      </w:r>
    </w:p>
    <w:p w14:paraId="7CF77C2E" w14:textId="77777777" w:rsidR="009065A4" w:rsidRDefault="009065A4">
      <w:pPr>
        <w:pStyle w:val="BodyText"/>
        <w:spacing w:before="1"/>
      </w:pPr>
    </w:p>
    <w:p w14:paraId="3D63DDBB" w14:textId="4EEAAA33" w:rsidR="009065A4" w:rsidRDefault="00C7656D">
      <w:pPr>
        <w:pStyle w:val="BodyText"/>
        <w:ind w:left="100" w:right="108" w:firstLine="719"/>
      </w:pPr>
      <w:r>
        <w:t>WHEREAS, the 2023</w:t>
      </w:r>
      <w:r>
        <w:t xml:space="preserve"> Annual Report sets forth the Authority’s operations and accomplishments</w:t>
      </w:r>
      <w:r>
        <w:rPr>
          <w:spacing w:val="-3"/>
        </w:rPr>
        <w:t xml:space="preserve"> </w:t>
      </w:r>
      <w:r>
        <w:t>and</w:t>
      </w:r>
      <w:r>
        <w:rPr>
          <w:spacing w:val="-4"/>
        </w:rPr>
        <w:t xml:space="preserve"> </w:t>
      </w:r>
      <w:r>
        <w:t>additional</w:t>
      </w:r>
      <w:r>
        <w:rPr>
          <w:spacing w:val="-4"/>
        </w:rPr>
        <w:t xml:space="preserve"> </w:t>
      </w:r>
      <w:r>
        <w:t>information</w:t>
      </w:r>
      <w:r>
        <w:rPr>
          <w:spacing w:val="-4"/>
        </w:rPr>
        <w:t xml:space="preserve"> </w:t>
      </w:r>
      <w:r>
        <w:t>as</w:t>
      </w:r>
      <w:r>
        <w:rPr>
          <w:spacing w:val="-4"/>
        </w:rPr>
        <w:t xml:space="preserve"> </w:t>
      </w:r>
      <w:r>
        <w:t>required</w:t>
      </w:r>
      <w:r>
        <w:rPr>
          <w:spacing w:val="-4"/>
        </w:rPr>
        <w:t xml:space="preserve"> </w:t>
      </w:r>
      <w:r>
        <w:t>by</w:t>
      </w:r>
      <w:r>
        <w:rPr>
          <w:spacing w:val="-4"/>
        </w:rPr>
        <w:t xml:space="preserve"> </w:t>
      </w:r>
      <w:r>
        <w:t>the</w:t>
      </w:r>
      <w:r>
        <w:rPr>
          <w:spacing w:val="-4"/>
        </w:rPr>
        <w:t xml:space="preserve"> </w:t>
      </w:r>
      <w:r>
        <w:t>PAL;</w:t>
      </w:r>
      <w:r>
        <w:rPr>
          <w:spacing w:val="-9"/>
        </w:rPr>
        <w:t xml:space="preserve"> </w:t>
      </w:r>
      <w:r>
        <w:t>now</w:t>
      </w:r>
      <w:r>
        <w:rPr>
          <w:spacing w:val="-7"/>
        </w:rPr>
        <w:t xml:space="preserve"> </w:t>
      </w:r>
      <w:r>
        <w:t>therefore,</w:t>
      </w:r>
      <w:r>
        <w:rPr>
          <w:spacing w:val="-4"/>
        </w:rPr>
        <w:t xml:space="preserve"> </w:t>
      </w:r>
      <w:r>
        <w:t>be</w:t>
      </w:r>
      <w:r>
        <w:rPr>
          <w:spacing w:val="-5"/>
        </w:rPr>
        <w:t xml:space="preserve"> </w:t>
      </w:r>
      <w:r>
        <w:t>it</w:t>
      </w:r>
    </w:p>
    <w:p w14:paraId="3B3E33DD" w14:textId="77777777" w:rsidR="009065A4" w:rsidRDefault="009065A4">
      <w:pPr>
        <w:pStyle w:val="BodyText"/>
      </w:pPr>
    </w:p>
    <w:p w14:paraId="5C587276" w14:textId="0974F724" w:rsidR="009065A4" w:rsidRDefault="00C7656D">
      <w:pPr>
        <w:pStyle w:val="BodyText"/>
        <w:ind w:left="100" w:right="108" w:firstLine="719"/>
      </w:pPr>
      <w:r>
        <w:t>RESOLVED, that the Authority hereby approves the 2023</w:t>
      </w:r>
      <w:r>
        <w:t xml:space="preserve"> Annual Report of the Authority,</w:t>
      </w:r>
      <w:r>
        <w:rPr>
          <w:spacing w:val="-4"/>
        </w:rPr>
        <w:t xml:space="preserve"> </w:t>
      </w:r>
      <w:r>
        <w:t>in</w:t>
      </w:r>
      <w:r>
        <w:rPr>
          <w:spacing w:val="-4"/>
        </w:rPr>
        <w:t xml:space="preserve"> </w:t>
      </w:r>
      <w:r>
        <w:t>substantially</w:t>
      </w:r>
      <w:r>
        <w:rPr>
          <w:spacing w:val="-4"/>
        </w:rPr>
        <w:t xml:space="preserve"> </w:t>
      </w:r>
      <w:r>
        <w:t>the</w:t>
      </w:r>
      <w:r>
        <w:rPr>
          <w:spacing w:val="-4"/>
        </w:rPr>
        <w:t xml:space="preserve"> </w:t>
      </w:r>
      <w:r>
        <w:t>form</w:t>
      </w:r>
      <w:r>
        <w:rPr>
          <w:spacing w:val="-4"/>
        </w:rPr>
        <w:t xml:space="preserve"> </w:t>
      </w:r>
      <w:r>
        <w:t>presented</w:t>
      </w:r>
      <w:r>
        <w:rPr>
          <w:spacing w:val="-4"/>
        </w:rPr>
        <w:t xml:space="preserve"> </w:t>
      </w:r>
      <w:r>
        <w:t>to</w:t>
      </w:r>
      <w:r>
        <w:rPr>
          <w:spacing w:val="-4"/>
        </w:rPr>
        <w:t xml:space="preserve"> </w:t>
      </w:r>
      <w:r>
        <w:t>the</w:t>
      </w:r>
      <w:r>
        <w:rPr>
          <w:spacing w:val="-4"/>
        </w:rPr>
        <w:t xml:space="preserve"> </w:t>
      </w:r>
      <w:r>
        <w:t>meeting,</w:t>
      </w:r>
      <w:r>
        <w:rPr>
          <w:spacing w:val="-4"/>
        </w:rPr>
        <w:t xml:space="preserve"> </w:t>
      </w:r>
      <w:r>
        <w:t>and</w:t>
      </w:r>
      <w:r>
        <w:rPr>
          <w:spacing w:val="-4"/>
        </w:rPr>
        <w:t xml:space="preserve"> </w:t>
      </w:r>
      <w:r>
        <w:t>authorizes</w:t>
      </w:r>
      <w:r>
        <w:rPr>
          <w:spacing w:val="-4"/>
        </w:rPr>
        <w:t xml:space="preserve"> </w:t>
      </w:r>
      <w:r>
        <w:t>the</w:t>
      </w:r>
      <w:r>
        <w:rPr>
          <w:spacing w:val="-4"/>
        </w:rPr>
        <w:t xml:space="preserve"> </w:t>
      </w:r>
      <w:r>
        <w:t>Chairperson and the Treasurer to sign, certify and deliver the report as required by the Act and the PAL, in substantially the form presented to the members.</w:t>
      </w:r>
    </w:p>
    <w:sectPr w:rsidR="009065A4">
      <w:type w:val="continuous"/>
      <w:pgSz w:w="12240" w:h="15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065A4"/>
    <w:rsid w:val="009065A4"/>
    <w:rsid w:val="00C7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C4F5"/>
  <w15:docId w15:val="{33B1B171-A3A1-4DB1-8DDB-50EC7451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0" w:right="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dc:title>
  <dc:creator>nt_user</dc:creator>
  <cp:lastModifiedBy>Rosen, Raquel</cp:lastModifiedBy>
  <cp:revision>2</cp:revision>
  <dcterms:created xsi:type="dcterms:W3CDTF">2024-03-08T19:04:00Z</dcterms:created>
  <dcterms:modified xsi:type="dcterms:W3CDTF">2024-03-08T19:05:00Z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Microsoft® Word for Microsoft 365</vt:lpwstr>
  </property>
  <property fmtid="{D5CDD505-2E9C-101B-9397-08002B2CF9AE}" pid="4" name="LastSaved">
    <vt:filetime>2024-03-08T00:00:00Z</vt:filetime>
  </property>
  <property fmtid="{D5CDD505-2E9C-101B-9397-08002B2CF9AE}" pid="5" name="Producer">
    <vt:lpwstr>Microsoft® Word for Microsoft 365</vt:lpwstr>
  </property>
</Properties>
</file>